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Procédure de gestion des données personnelles – Arobace</w:t>
      </w:r>
    </w:p>
    <w:p>
      <w:r>
        <w:t>Société : Arobace</w:t>
      </w:r>
    </w:p>
    <w:p>
      <w:r>
        <w:t>Responsable : Élodie Butler, Directrice Générale</w:t>
      </w:r>
    </w:p>
    <w:p>
      <w:r>
        <w:t>Date de mise à jour : 11/06/2025</w:t>
      </w:r>
    </w:p>
    <w:p>
      <w:r>
        <w:t>Référence : RGPD_Arobace_2025</w:t>
      </w:r>
    </w:p>
    <w:p>
      <w:pPr>
        <w:pStyle w:val="Heading2"/>
      </w:pPr>
      <w:r>
        <w:t>Table des matières</w:t>
      </w:r>
    </w:p>
    <w:p>
      <w:r>
        <w:t>1. Objectif et champ d’application</w:t>
      </w:r>
    </w:p>
    <w:p>
      <w:r>
        <w:t>2. Registre des traitements</w:t>
      </w:r>
    </w:p>
    <w:p>
      <w:r>
        <w:t>3. Sous-traitance et conformité RGPD</w:t>
      </w:r>
    </w:p>
    <w:p>
      <w:r>
        <w:t>4. Mesures de sécurité</w:t>
      </w:r>
    </w:p>
    <w:p>
      <w:r>
        <w:t>5. Droit des personnes</w:t>
      </w:r>
    </w:p>
    <w:p>
      <w:r>
        <w:t>6. Contrôle, audit et remédiation</w:t>
      </w:r>
    </w:p>
    <w:p>
      <w:pPr>
        <w:pStyle w:val="Heading2"/>
      </w:pPr>
      <w:r>
        <w:t>1. Objectif et champ d’application</w:t>
      </w:r>
    </w:p>
    <w:p>
      <w:r>
        <w:t>Cette procédure encadre la gestion des données personnelles collectées ou traitées par Arobace, conformément au Règlement Général sur la Protection des Données (RGPD) et à la législation nationale applicable.</w:t>
      </w:r>
    </w:p>
    <w:p>
      <w:pPr>
        <w:pStyle w:val="Heading2"/>
      </w:pPr>
      <w:r>
        <w:t>2. Registre des traitements</w:t>
      </w:r>
    </w:p>
    <w:p>
      <w:r>
        <w:t>- Un registre des traitements est tenu à jour et documente : les finalités, les bases légales, les durées de conservation et les mesures de sécurité.</w:t>
        <w:br/>
        <w:t>- Chaque traitement est associé à un responsable et à une catégorie de données précises.</w:t>
      </w:r>
    </w:p>
    <w:p>
      <w:pPr>
        <w:pStyle w:val="Heading2"/>
      </w:pPr>
      <w:r>
        <w:t>3. Sous-traitance et conformité RGPD</w:t>
      </w:r>
    </w:p>
    <w:p>
      <w:r>
        <w:t>- Tous les sous-traitants d’Arobace sont référencés et évalués pour leur conformité RGPD.</w:t>
        <w:br/>
        <w:t>- Un DPA (Data Processing Agreement) est systématiquement signé avant tout traitement de données par un tiers.</w:t>
        <w:br/>
        <w:t>- Des audits peuvent être menés pour vérifier le respect des engagements.</w:t>
      </w:r>
    </w:p>
    <w:p>
      <w:pPr>
        <w:pStyle w:val="Heading2"/>
      </w:pPr>
      <w:r>
        <w:t>4. Mesures de sécurité</w:t>
      </w:r>
    </w:p>
    <w:p>
      <w:r>
        <w:t>- Sécurisation des accès informatiques (authentification forte, contrôle d’accès, chiffrement des données sensibles).</w:t>
        <w:br/>
        <w:t>- Sauvegardes régulières et tests de restauration.</w:t>
        <w:br/>
        <w:t>- Traçabilité des accès aux données sensibles et journalisation.</w:t>
      </w:r>
    </w:p>
    <w:p>
      <w:pPr>
        <w:pStyle w:val="Heading2"/>
      </w:pPr>
      <w:r>
        <w:t>5. Droit des personnes</w:t>
      </w:r>
    </w:p>
    <w:p>
      <w:r>
        <w:t>- Les clients peuvent exercer leurs droits (accès, rectification, suppression, opposition, portabilité) en contactant le DPO désigné.</w:t>
        <w:br/>
        <w:t>- Réponse sous 30 jours conformément aux délais légaux.</w:t>
        <w:br/>
        <w:t>- Un formulaire est mis à disposition dans l’espace client ou par email.</w:t>
      </w:r>
    </w:p>
    <w:p>
      <w:pPr>
        <w:pStyle w:val="Heading2"/>
      </w:pPr>
      <w:r>
        <w:t>6. Contrôle, audit et remédiation</w:t>
      </w:r>
    </w:p>
    <w:p>
      <w:r>
        <w:t>- Une revue annuelle du respect du RGPD est effectuée.</w:t>
        <w:br/>
        <w:t>- Les incidents de sécurité font l’objet d’un plan de remédiation et de notification sous 72 heures à la CNIL et aux personnes concernées si nécessaire.</w:t>
        <w:br/>
        <w:t>- Une documentation des contrôles est tenue pour chaque période d’audit.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