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Plan de Continuité d’Activité (PCA) – Arobace</w:t>
      </w:r>
    </w:p>
    <w:p>
      <w:r>
        <w:t>Société : Arobace</w:t>
      </w:r>
    </w:p>
    <w:p>
      <w:r>
        <w:t>Responsable : Élodie Butler, Directrice Générale</w:t>
      </w:r>
    </w:p>
    <w:p>
      <w:r>
        <w:t>Date de mise à jour : 11/06/2025</w:t>
      </w:r>
    </w:p>
    <w:p>
      <w:r>
        <w:t>Référence : PCA_Arobace_2025</w:t>
      </w:r>
    </w:p>
    <w:p>
      <w:pPr>
        <w:pStyle w:val="Heading2"/>
      </w:pPr>
      <w:r>
        <w:t>Table des matières</w:t>
      </w:r>
    </w:p>
    <w:p>
      <w:r>
        <w:t>1. Objectifs du PCA</w:t>
      </w:r>
    </w:p>
    <w:p>
      <w:r>
        <w:t>2. Identification des activités critiques</w:t>
      </w:r>
    </w:p>
    <w:p>
      <w:r>
        <w:t>3. Scénarios de risques et impacts</w:t>
      </w:r>
    </w:p>
    <w:p>
      <w:r>
        <w:t>4. Plans de continuité techniques</w:t>
      </w:r>
    </w:p>
    <w:p>
      <w:r>
        <w:t>5. Plans de continuité humains</w:t>
      </w:r>
    </w:p>
    <w:p>
      <w:r>
        <w:t>6. Gouvernance et tests réguliers</w:t>
      </w:r>
    </w:p>
    <w:p>
      <w:pPr>
        <w:pStyle w:val="Heading2"/>
      </w:pPr>
      <w:r>
        <w:t>1. Objectifs du PCA</w:t>
      </w:r>
    </w:p>
    <w:p>
      <w:r>
        <w:t>Ce document a pour but d’assurer la continuité des services essentiels d’Arobace en cas d’incident majeur affectant ses capacités opérationnelles, techniques ou humaines.</w:t>
      </w:r>
    </w:p>
    <w:p>
      <w:pPr>
        <w:pStyle w:val="Heading2"/>
      </w:pPr>
      <w:r>
        <w:t>2. Identification des activités critiques</w:t>
      </w:r>
    </w:p>
    <w:p>
      <w:r>
        <w:t>- Production graphique et audiovisuelle</w:t>
        <w:br/>
        <w:t>- Accès aux outils internes (CRM, plateformes de diffusion)</w:t>
        <w:br/>
        <w:t>- Communication client (email, téléphone, extranet)</w:t>
        <w:br/>
        <w:t>- Facturation et suivi financier</w:t>
      </w:r>
    </w:p>
    <w:p>
      <w:pPr>
        <w:pStyle w:val="Heading2"/>
      </w:pPr>
      <w:r>
        <w:t>3. Scénarios de risques et impacts</w:t>
      </w:r>
    </w:p>
    <w:p>
      <w:r>
        <w:t>- Panne serveur / hébergeur</w:t>
        <w:br/>
        <w:t>- Perte de connectivité internet prolongée</w:t>
        <w:br/>
        <w:t>- Défaillance humaine (maladie, absence non planifiée)</w:t>
        <w:br/>
        <w:t>- Cyberattaque / faille de sécurité</w:t>
        <w:br/>
        <w:t>- Coupure générale de courant</w:t>
        <w:br/>
        <w:t>- Crise sanitaire ou événement exceptionnel (incendie, inondation)</w:t>
      </w:r>
    </w:p>
    <w:p>
      <w:pPr>
        <w:pStyle w:val="Heading2"/>
      </w:pPr>
      <w:r>
        <w:t>4. Plans de continuité techniques</w:t>
      </w:r>
    </w:p>
    <w:p>
      <w:r>
        <w:t>- Redondance des serveurs avec sauvegarde quotidienne</w:t>
        <w:br/>
        <w:t>- Possibilité de bascule vers solution cloud alternative sous 6h</w:t>
        <w:br/>
        <w:t>- Accès distant sécurisé pour télétravail des équipes</w:t>
        <w:br/>
        <w:t>- Plan de rétablissement progressif documenté</w:t>
      </w:r>
    </w:p>
    <w:p>
      <w:pPr>
        <w:pStyle w:val="Heading2"/>
      </w:pPr>
      <w:r>
        <w:t>5. Plans de continuité humains</w:t>
      </w:r>
    </w:p>
    <w:p>
      <w:r>
        <w:t>- Délégation croisée des responsabilités</w:t>
        <w:br/>
        <w:t>- Liste des remplaçants opérationnels par service</w:t>
        <w:br/>
        <w:t>- Procédure d’alerte interne et messagerie de secours</w:t>
        <w:br/>
        <w:t>- Télétravail en cas de confinement ou évacuation du site</w:t>
      </w:r>
    </w:p>
    <w:p>
      <w:pPr>
        <w:pStyle w:val="Heading2"/>
      </w:pPr>
      <w:r>
        <w:t>6. Gouvernance et tests réguliers</w:t>
      </w:r>
    </w:p>
    <w:p>
      <w:r>
        <w:t>- Le PCA est revu chaque année en comité de direction</w:t>
        <w:br/>
        <w:t>- Un test de bascule est effectué au moins une fois tous les 18 mois</w:t>
        <w:br/>
        <w:t>- Les retours d’expérience sont consignés et intégrés aux mises à jour du PCA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